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71" w:rsidRPr="00492B88" w:rsidRDefault="00AB3D71" w:rsidP="00746FF2">
      <w:pPr>
        <w:spacing w:line="303" w:lineRule="atLeast"/>
        <w:jc w:val="center"/>
        <w:outlineLvl w:val="2"/>
        <w:rPr>
          <w:rFonts w:ascii="Roboto Slab" w:eastAsia="Times New Roman" w:hAnsi="Roboto Slab" w:cs="Arial"/>
          <w:b/>
          <w:bCs/>
          <w:sz w:val="29"/>
          <w:szCs w:val="29"/>
          <w:lang w:val="en"/>
        </w:rPr>
      </w:pPr>
      <w:r w:rsidRPr="00492B88">
        <w:rPr>
          <w:rFonts w:ascii="Roboto Slab" w:eastAsia="Times New Roman" w:hAnsi="Roboto Slab" w:cs="Arial"/>
          <w:b/>
          <w:bCs/>
          <w:sz w:val="29"/>
          <w:szCs w:val="29"/>
          <w:lang w:val="en"/>
        </w:rPr>
        <w:t xml:space="preserve">Getting Started with Khan Academy </w:t>
      </w:r>
      <w:r w:rsidR="00746FF2" w:rsidRPr="00492B88">
        <w:rPr>
          <w:rFonts w:ascii="Roboto Slab" w:eastAsia="Times New Roman" w:hAnsi="Roboto Slab" w:cs="Arial"/>
          <w:b/>
          <w:bCs/>
          <w:sz w:val="29"/>
          <w:szCs w:val="29"/>
          <w:lang w:val="en"/>
        </w:rPr>
        <w:t>–</w:t>
      </w:r>
      <w:r w:rsidRPr="00492B88">
        <w:rPr>
          <w:rFonts w:ascii="Roboto Slab" w:eastAsia="Times New Roman" w:hAnsi="Roboto Slab" w:cs="Arial"/>
          <w:b/>
          <w:bCs/>
          <w:sz w:val="29"/>
          <w:szCs w:val="29"/>
          <w:lang w:val="en"/>
        </w:rPr>
        <w:t xml:space="preserve"> Math</w:t>
      </w:r>
    </w:p>
    <w:p w:rsidR="00746FF2" w:rsidRPr="00492B88" w:rsidRDefault="00746FF2" w:rsidP="00746FF2">
      <w:pPr>
        <w:spacing w:line="303" w:lineRule="atLeast"/>
        <w:jc w:val="center"/>
        <w:outlineLvl w:val="2"/>
        <w:rPr>
          <w:rFonts w:ascii="Roboto Slab" w:eastAsia="Times New Roman" w:hAnsi="Roboto Slab" w:cs="Arial"/>
          <w:b/>
          <w:bCs/>
          <w:sz w:val="29"/>
          <w:szCs w:val="29"/>
          <w:lang w:val="en"/>
        </w:rPr>
      </w:pPr>
    </w:p>
    <w:p w:rsidR="00AB3D71" w:rsidRPr="00492B88" w:rsidRDefault="00AB3D71" w:rsidP="00746FF2">
      <w:pPr>
        <w:rPr>
          <w:rFonts w:ascii="Roboto" w:eastAsia="Times New Roman" w:hAnsi="Roboto" w:cs="Arial"/>
          <w:bCs/>
          <w:sz w:val="24"/>
          <w:szCs w:val="24"/>
          <w:lang w:val="en"/>
        </w:rPr>
      </w:pPr>
      <w:r w:rsidRPr="00492B88">
        <w:rPr>
          <w:rFonts w:ascii="Roboto" w:eastAsia="Times New Roman" w:hAnsi="Roboto" w:cs="Arial"/>
          <w:bCs/>
          <w:sz w:val="24"/>
          <w:szCs w:val="24"/>
          <w:lang w:val="en"/>
        </w:rPr>
        <w:t xml:space="preserve">Khan Academy is a completely free online resource. </w:t>
      </w:r>
      <w:hyperlink r:id="rId5" w:history="1">
        <w:r w:rsidRPr="00492B88">
          <w:rPr>
            <w:rStyle w:val="Hyperlink"/>
            <w:rFonts w:ascii="Roboto" w:eastAsia="Times New Roman" w:hAnsi="Roboto" w:cs="Arial"/>
            <w:bCs/>
            <w:color w:val="0070C0"/>
            <w:sz w:val="24"/>
            <w:szCs w:val="24"/>
            <w:lang w:val="en"/>
          </w:rPr>
          <w:t>www.khanacademy.org</w:t>
        </w:r>
      </w:hyperlink>
      <w:r w:rsidR="00492B88">
        <w:rPr>
          <w:rFonts w:ascii="Roboto" w:eastAsia="Times New Roman" w:hAnsi="Roboto" w:cs="Arial"/>
          <w:bCs/>
          <w:sz w:val="24"/>
          <w:szCs w:val="24"/>
          <w:lang w:val="en"/>
        </w:rPr>
        <w:t xml:space="preserve">. </w:t>
      </w:r>
      <w:r w:rsidR="00492B88">
        <w:rPr>
          <w:rFonts w:cs="Arial"/>
          <w:sz w:val="24"/>
          <w:lang w:val="en"/>
        </w:rPr>
        <w:t xml:space="preserve">– </w:t>
      </w:r>
      <w:r w:rsidR="00492B88" w:rsidRPr="00A22A23">
        <w:rPr>
          <w:rFonts w:cs="Arial"/>
          <w:i/>
          <w:highlight w:val="yellow"/>
          <w:lang w:val="en"/>
        </w:rPr>
        <w:t>(Please follow the</w:t>
      </w:r>
      <w:r w:rsidR="00492B88">
        <w:rPr>
          <w:rFonts w:cs="Arial"/>
          <w:i/>
          <w:highlight w:val="yellow"/>
          <w:lang w:val="en"/>
        </w:rPr>
        <w:t xml:space="preserve"> </w:t>
      </w:r>
      <w:r w:rsidR="00492B88" w:rsidRPr="00492B88">
        <w:rPr>
          <w:rFonts w:cs="Arial"/>
          <w:i/>
          <w:color w:val="0070C0"/>
          <w:highlight w:val="yellow"/>
          <w:u w:val="single"/>
          <w:lang w:val="en"/>
        </w:rPr>
        <w:t>blue underlined</w:t>
      </w:r>
      <w:r w:rsidR="00492B88">
        <w:rPr>
          <w:rFonts w:cs="Arial"/>
          <w:i/>
          <w:highlight w:val="yellow"/>
          <w:lang w:val="en"/>
        </w:rPr>
        <w:t xml:space="preserve"> links</w:t>
      </w:r>
      <w:r w:rsidR="00492B88" w:rsidRPr="00A22A23">
        <w:rPr>
          <w:rFonts w:cs="Arial"/>
          <w:i/>
          <w:highlight w:val="yellow"/>
          <w:lang w:val="en"/>
        </w:rPr>
        <w:t xml:space="preserve"> in this document by pressing the Ctrl key and clicking at the same time).</w:t>
      </w:r>
    </w:p>
    <w:p w:rsidR="00AB3D71" w:rsidRPr="00492B88" w:rsidRDefault="00AB3D71" w:rsidP="00746FF2">
      <w:pPr>
        <w:ind w:left="720"/>
        <w:rPr>
          <w:rFonts w:ascii="Roboto" w:eastAsia="Times New Roman" w:hAnsi="Roboto" w:cs="Arial"/>
          <w:bCs/>
          <w:sz w:val="24"/>
          <w:szCs w:val="24"/>
          <w:lang w:val="en"/>
        </w:rPr>
      </w:pPr>
      <w:r w:rsidRPr="00492B88">
        <w:rPr>
          <w:rFonts w:ascii="Roboto" w:eastAsia="Times New Roman" w:hAnsi="Roboto" w:cs="Arial"/>
          <w:bCs/>
          <w:sz w:val="24"/>
          <w:szCs w:val="24"/>
          <w:lang w:val="en"/>
        </w:rPr>
        <w:t>(Khan Academy does not support Internet Explorer. They recommend Firefox, Chrome or Microsoft Edge.)</w:t>
      </w:r>
    </w:p>
    <w:p w:rsidR="00AB3D71" w:rsidRPr="00492B88" w:rsidRDefault="00AB3D71" w:rsidP="00746FF2">
      <w:pPr>
        <w:spacing w:before="100" w:beforeAutospacing="1"/>
        <w:rPr>
          <w:rFonts w:ascii="Roboto" w:eastAsia="Times New Roman" w:hAnsi="Roboto" w:cs="Arial"/>
          <w:bCs/>
          <w:sz w:val="24"/>
          <w:szCs w:val="24"/>
          <w:lang w:val="en"/>
        </w:rPr>
      </w:pPr>
      <w:r w:rsidRPr="00492B88">
        <w:rPr>
          <w:rFonts w:ascii="Roboto" w:eastAsia="Times New Roman" w:hAnsi="Roboto" w:cs="Arial"/>
          <w:bCs/>
          <w:sz w:val="24"/>
          <w:szCs w:val="24"/>
          <w:lang w:val="en"/>
        </w:rPr>
        <w:t>You may use</w:t>
      </w:r>
      <w:r w:rsidR="00746FF2" w:rsidRPr="00492B88">
        <w:rPr>
          <w:rFonts w:ascii="Roboto" w:eastAsia="Times New Roman" w:hAnsi="Roboto" w:cs="Arial"/>
          <w:bCs/>
          <w:sz w:val="24"/>
          <w:szCs w:val="24"/>
          <w:lang w:val="en"/>
        </w:rPr>
        <w:t xml:space="preserve"> Khan</w:t>
      </w:r>
      <w:r w:rsidRPr="00492B88">
        <w:rPr>
          <w:rFonts w:ascii="Roboto" w:eastAsia="Times New Roman" w:hAnsi="Roboto" w:cs="Arial"/>
          <w:bCs/>
          <w:sz w:val="24"/>
          <w:szCs w:val="24"/>
          <w:lang w:val="en"/>
        </w:rPr>
        <w:t xml:space="preserve"> either with or without setting up an account. The advantage of setting up an account is that it will keep track of what you have already completed. It can be motivating to see your progress.</w:t>
      </w:r>
    </w:p>
    <w:p w:rsidR="00746FF2" w:rsidRPr="00492B88" w:rsidRDefault="00746FF2" w:rsidP="00746FF2">
      <w:pPr>
        <w:spacing w:before="100" w:beforeAutospacing="1"/>
        <w:rPr>
          <w:rFonts w:ascii="Roboto" w:eastAsia="Times New Roman" w:hAnsi="Roboto" w:cs="Arial"/>
          <w:bCs/>
          <w:sz w:val="24"/>
          <w:szCs w:val="24"/>
          <w:lang w:val="en"/>
        </w:rPr>
      </w:pPr>
      <w:r w:rsidRPr="00492B88">
        <w:rPr>
          <w:rFonts w:ascii="Roboto" w:eastAsia="Times New Roman" w:hAnsi="Roboto" w:cs="Arial"/>
          <w:bCs/>
          <w:sz w:val="24"/>
          <w:szCs w:val="24"/>
          <w:lang w:val="en"/>
        </w:rPr>
        <w:t>It may be helpful to listen to the videos with the subtitles turned on so that you also see the words. You are also able to adjust the speed of the videos.</w:t>
      </w:r>
    </w:p>
    <w:p w:rsidR="00746FF2" w:rsidRPr="00492B88" w:rsidRDefault="00746FF2" w:rsidP="00746FF2">
      <w:pPr>
        <w:rPr>
          <w:rFonts w:ascii="Roboto" w:eastAsia="Times New Roman" w:hAnsi="Roboto" w:cs="Arial"/>
          <w:b/>
          <w:bCs/>
          <w:sz w:val="24"/>
          <w:szCs w:val="24"/>
          <w:lang w:val="en"/>
        </w:rPr>
      </w:pPr>
    </w:p>
    <w:p w:rsidR="00746FF2" w:rsidRPr="00492B88" w:rsidRDefault="00746FF2" w:rsidP="00746FF2">
      <w:pPr>
        <w:rPr>
          <w:rFonts w:ascii="Roboto" w:eastAsia="Times New Roman" w:hAnsi="Roboto" w:cs="Arial"/>
          <w:sz w:val="24"/>
          <w:szCs w:val="24"/>
          <w:lang w:val="en"/>
        </w:rPr>
      </w:pPr>
      <w:r w:rsidRPr="00492B88">
        <w:rPr>
          <w:rFonts w:ascii="Roboto" w:eastAsia="Times New Roman" w:hAnsi="Roboto" w:cs="Arial"/>
          <w:b/>
          <w:bCs/>
          <w:sz w:val="24"/>
          <w:szCs w:val="24"/>
          <w:lang w:val="en"/>
        </w:rPr>
        <w:t>The Next-Generation ACCUPLACER Arithmetic section</w:t>
      </w:r>
      <w:r w:rsidRPr="00492B88">
        <w:rPr>
          <w:rFonts w:ascii="Roboto" w:eastAsia="Times New Roman" w:hAnsi="Roboto" w:cs="Arial"/>
          <w:sz w:val="24"/>
          <w:szCs w:val="24"/>
          <w:lang w:val="en"/>
        </w:rPr>
        <w:t xml:space="preserve"> focuses on computation, order of operations, estimation and rounding, comparing and ordering values in different formats, and recognizing equivalent values across formats. The following knowledge and skills categories are assessed:</w:t>
      </w:r>
    </w:p>
    <w:p w:rsidR="00746FF2" w:rsidRPr="00492B88" w:rsidRDefault="00746FF2" w:rsidP="00746FF2">
      <w:pPr>
        <w:numPr>
          <w:ilvl w:val="0"/>
          <w:numId w:val="4"/>
        </w:numPr>
        <w:spacing w:before="100" w:beforeAutospacing="1"/>
        <w:ind w:left="607"/>
        <w:rPr>
          <w:rFonts w:ascii="Roboto" w:eastAsia="Times New Roman" w:hAnsi="Roboto" w:cs="Arial"/>
          <w:sz w:val="24"/>
          <w:szCs w:val="24"/>
          <w:lang w:val="en"/>
        </w:rPr>
      </w:pPr>
      <w:r w:rsidRPr="00492B88">
        <w:rPr>
          <w:rFonts w:ascii="Roboto" w:eastAsia="Times New Roman" w:hAnsi="Roboto" w:cs="Arial"/>
          <w:sz w:val="24"/>
          <w:szCs w:val="24"/>
          <w:lang w:val="en"/>
        </w:rPr>
        <w:t xml:space="preserve">Whole Number Operations </w:t>
      </w:r>
    </w:p>
    <w:p w:rsidR="00746FF2" w:rsidRPr="00492B88" w:rsidRDefault="00746FF2" w:rsidP="00746FF2">
      <w:pPr>
        <w:numPr>
          <w:ilvl w:val="0"/>
          <w:numId w:val="4"/>
        </w:numPr>
        <w:spacing w:before="100" w:beforeAutospacing="1"/>
        <w:ind w:left="607"/>
        <w:rPr>
          <w:rFonts w:ascii="Roboto" w:eastAsia="Times New Roman" w:hAnsi="Roboto" w:cs="Arial"/>
          <w:sz w:val="24"/>
          <w:szCs w:val="24"/>
          <w:lang w:val="en"/>
        </w:rPr>
      </w:pPr>
      <w:r w:rsidRPr="00492B88">
        <w:rPr>
          <w:rFonts w:ascii="Roboto" w:eastAsia="Times New Roman" w:hAnsi="Roboto" w:cs="Arial"/>
          <w:sz w:val="24"/>
          <w:szCs w:val="24"/>
          <w:lang w:val="en"/>
        </w:rPr>
        <w:t xml:space="preserve">Fraction Operations </w:t>
      </w:r>
    </w:p>
    <w:p w:rsidR="00746FF2" w:rsidRPr="00492B88" w:rsidRDefault="00746FF2" w:rsidP="00746FF2">
      <w:pPr>
        <w:numPr>
          <w:ilvl w:val="0"/>
          <w:numId w:val="4"/>
        </w:numPr>
        <w:spacing w:before="100" w:beforeAutospacing="1"/>
        <w:ind w:left="607"/>
        <w:rPr>
          <w:rFonts w:ascii="Roboto" w:eastAsia="Times New Roman" w:hAnsi="Roboto" w:cs="Arial"/>
          <w:sz w:val="24"/>
          <w:szCs w:val="24"/>
          <w:lang w:val="en"/>
        </w:rPr>
      </w:pPr>
      <w:r w:rsidRPr="00492B88">
        <w:rPr>
          <w:rFonts w:ascii="Roboto" w:eastAsia="Times New Roman" w:hAnsi="Roboto" w:cs="Arial"/>
          <w:sz w:val="24"/>
          <w:szCs w:val="24"/>
          <w:lang w:val="en"/>
        </w:rPr>
        <w:t>Decimal Operations</w:t>
      </w:r>
    </w:p>
    <w:p w:rsidR="00746FF2" w:rsidRPr="00492B88" w:rsidRDefault="00492B88" w:rsidP="00492B88">
      <w:pPr>
        <w:numPr>
          <w:ilvl w:val="0"/>
          <w:numId w:val="4"/>
        </w:numPr>
        <w:spacing w:before="100" w:beforeAutospacing="1"/>
        <w:ind w:left="607"/>
        <w:rPr>
          <w:rFonts w:ascii="Roboto" w:eastAsia="Times New Roman" w:hAnsi="Roboto" w:cs="Arial"/>
          <w:sz w:val="24"/>
          <w:szCs w:val="24"/>
          <w:lang w:val="en"/>
        </w:rPr>
      </w:pPr>
      <w:r>
        <w:rPr>
          <w:rFonts w:ascii="Roboto" w:eastAsia="Times New Roman" w:hAnsi="Roboto" w:cs="Arial"/>
          <w:sz w:val="24"/>
          <w:szCs w:val="24"/>
          <w:lang w:val="en"/>
        </w:rPr>
        <w:t>Percent</w:t>
      </w:r>
      <w:bookmarkStart w:id="0" w:name="_GoBack"/>
      <w:bookmarkEnd w:id="0"/>
    </w:p>
    <w:p w:rsidR="00746FF2" w:rsidRPr="00492B88" w:rsidRDefault="00746FF2" w:rsidP="00746FF2">
      <w:pPr>
        <w:spacing w:before="100" w:beforeAutospacing="1"/>
        <w:rPr>
          <w:rFonts w:ascii="Roboto" w:eastAsia="Times New Roman" w:hAnsi="Roboto" w:cs="Arial"/>
          <w:b/>
          <w:bCs/>
          <w:sz w:val="24"/>
          <w:szCs w:val="24"/>
          <w:lang w:val="en"/>
        </w:rPr>
      </w:pPr>
      <w:r w:rsidRPr="00492B88">
        <w:rPr>
          <w:rFonts w:ascii="Roboto" w:eastAsia="Times New Roman" w:hAnsi="Roboto" w:cs="Arial"/>
          <w:b/>
          <w:bCs/>
          <w:sz w:val="24"/>
          <w:szCs w:val="24"/>
          <w:lang w:val="en"/>
        </w:rPr>
        <w:t xml:space="preserve">Using Khan Academy as a great resource for preparing for the Arithmetic section of the Next-Generation </w:t>
      </w:r>
      <w:proofErr w:type="spellStart"/>
      <w:r w:rsidRPr="00492B88">
        <w:rPr>
          <w:rFonts w:ascii="Roboto" w:eastAsia="Times New Roman" w:hAnsi="Roboto" w:cs="Arial"/>
          <w:b/>
          <w:bCs/>
          <w:sz w:val="24"/>
          <w:szCs w:val="24"/>
          <w:lang w:val="en"/>
        </w:rPr>
        <w:t>Accuplacer</w:t>
      </w:r>
      <w:proofErr w:type="spellEnd"/>
      <w:r w:rsidRPr="00492B88">
        <w:rPr>
          <w:rFonts w:ascii="Roboto" w:eastAsia="Times New Roman" w:hAnsi="Roboto" w:cs="Arial"/>
          <w:b/>
          <w:bCs/>
          <w:sz w:val="24"/>
          <w:szCs w:val="24"/>
          <w:lang w:val="en"/>
        </w:rPr>
        <w:t xml:space="preserve"> exam. It provides very helpful short videos on a range of topics. Some sections also contain some practice problems and quizzes. Use this resource to assist in understanding how to work the problems provided on the worksheets at New Hope Education Center.  </w:t>
      </w:r>
    </w:p>
    <w:p w:rsidR="00AB3D71" w:rsidRPr="00492B88" w:rsidRDefault="00AB3D71" w:rsidP="00746FF2">
      <w:pPr>
        <w:spacing w:before="100" w:beforeAutospacing="1"/>
        <w:rPr>
          <w:rFonts w:ascii="Roboto" w:eastAsia="Times New Roman" w:hAnsi="Roboto" w:cs="Arial"/>
          <w:sz w:val="24"/>
          <w:szCs w:val="24"/>
          <w:lang w:val="en"/>
        </w:rPr>
      </w:pPr>
      <w:r w:rsidRPr="00492B88">
        <w:rPr>
          <w:rFonts w:ascii="Roboto" w:eastAsia="Times New Roman" w:hAnsi="Roboto" w:cs="Arial"/>
          <w:sz w:val="24"/>
          <w:szCs w:val="24"/>
          <w:lang w:val="en"/>
        </w:rPr>
        <w:t>There are a couple of good sections to get started on. There is an image of the topics below each link.</w:t>
      </w:r>
    </w:p>
    <w:p w:rsidR="00AB3D71" w:rsidRPr="00492B88" w:rsidRDefault="003F1842" w:rsidP="00746FF2">
      <w:pPr>
        <w:spacing w:before="100" w:beforeAutospacing="1"/>
        <w:rPr>
          <w:rFonts w:ascii="Roboto" w:eastAsia="Times New Roman" w:hAnsi="Roboto" w:cs="Arial"/>
          <w:sz w:val="24"/>
          <w:szCs w:val="24"/>
          <w:lang w:val="en"/>
        </w:rPr>
      </w:pPr>
      <w:r w:rsidRPr="00492B88">
        <w:t xml:space="preserve">Click here </w:t>
      </w:r>
      <w:r w:rsidRPr="00492B88">
        <w:sym w:font="Wingdings" w:char="F0E0"/>
      </w:r>
      <w:r w:rsidRPr="00492B88">
        <w:t xml:space="preserve"> </w:t>
      </w:r>
      <w:hyperlink r:id="rId6" w:history="1">
        <w:r w:rsidR="00AB3D71" w:rsidRPr="00492B88">
          <w:rPr>
            <w:rStyle w:val="Hyperlink"/>
            <w:rFonts w:ascii="Roboto" w:eastAsia="Times New Roman" w:hAnsi="Roboto" w:cs="Arial"/>
            <w:bCs/>
            <w:color w:val="0070C0"/>
            <w:sz w:val="24"/>
            <w:szCs w:val="24"/>
            <w:lang w:val="en"/>
          </w:rPr>
          <w:t>Arithmetic Operations</w:t>
        </w:r>
      </w:hyperlink>
      <w:r w:rsidR="00AB3D71" w:rsidRPr="00492B88">
        <w:rPr>
          <w:rFonts w:ascii="Roboto" w:eastAsia="Times New Roman" w:hAnsi="Roboto" w:cs="Arial"/>
          <w:sz w:val="24"/>
          <w:szCs w:val="24"/>
          <w:lang w:val="en"/>
        </w:rPr>
        <w:t xml:space="preserve">  </w:t>
      </w:r>
    </w:p>
    <w:p w:rsidR="00AB3D71" w:rsidRPr="00492B88" w:rsidRDefault="00AB3D71" w:rsidP="00746FF2">
      <w:pPr>
        <w:spacing w:before="100" w:beforeAutospacing="1"/>
        <w:rPr>
          <w:rFonts w:ascii="Roboto" w:eastAsia="Times New Roman" w:hAnsi="Roboto" w:cs="Arial"/>
          <w:sz w:val="24"/>
          <w:szCs w:val="24"/>
          <w:lang w:val="en"/>
        </w:rPr>
      </w:pPr>
      <w:r w:rsidRPr="00492B88">
        <w:rPr>
          <w:noProof/>
        </w:rPr>
        <w:drawing>
          <wp:inline distT="0" distB="0" distL="0" distR="0" wp14:anchorId="329F8E30" wp14:editId="2E1EA267">
            <wp:extent cx="5943600" cy="210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03120"/>
                    </a:xfrm>
                    <a:prstGeom prst="rect">
                      <a:avLst/>
                    </a:prstGeom>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8" w:history="1">
        <w:r w:rsidR="00AB3D71" w:rsidRPr="00492B88">
          <w:rPr>
            <w:rStyle w:val="Hyperlink"/>
            <w:rFonts w:ascii="Roboto" w:eastAsia="Times New Roman" w:hAnsi="Roboto" w:cs="Arial"/>
            <w:bCs/>
            <w:color w:val="0070C0"/>
            <w:sz w:val="24"/>
            <w:szCs w:val="24"/>
            <w:lang w:val="en"/>
          </w:rPr>
          <w:t>Arithmetic Properties</w:t>
        </w:r>
      </w:hyperlink>
      <w:r w:rsidR="00AB3D71" w:rsidRPr="00492B88">
        <w:t xml:space="preserve"> </w:t>
      </w:r>
    </w:p>
    <w:p w:rsidR="00AB3D71" w:rsidRPr="00492B88" w:rsidRDefault="00AB3D71" w:rsidP="00746FF2">
      <w:r w:rsidRPr="00492B88">
        <w:rPr>
          <w:noProof/>
        </w:rPr>
        <w:drawing>
          <wp:inline distT="0" distB="0" distL="0" distR="0" wp14:anchorId="68491086" wp14:editId="560BCCFB">
            <wp:extent cx="5943600" cy="1235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35710"/>
                    </a:xfrm>
                    <a:prstGeom prst="rect">
                      <a:avLst/>
                    </a:prstGeom>
                  </pic:spPr>
                </pic:pic>
              </a:graphicData>
            </a:graphic>
          </wp:inline>
        </w:drawing>
      </w:r>
    </w:p>
    <w:p w:rsidR="00AB3D71" w:rsidRPr="00492B88" w:rsidRDefault="003F1842" w:rsidP="00746FF2">
      <w:r w:rsidRPr="00492B88">
        <w:lastRenderedPageBreak/>
        <w:t xml:space="preserve">Click here </w:t>
      </w:r>
      <w:r w:rsidRPr="00492B88">
        <w:sym w:font="Wingdings" w:char="F0E0"/>
      </w:r>
      <w:r w:rsidRPr="00492B88">
        <w:t xml:space="preserve"> </w:t>
      </w:r>
      <w:hyperlink r:id="rId10" w:history="1">
        <w:r w:rsidR="00AB3D71" w:rsidRPr="00492B88">
          <w:rPr>
            <w:rStyle w:val="Hyperlink"/>
            <w:rFonts w:ascii="Roboto" w:eastAsia="Times New Roman" w:hAnsi="Roboto" w:cs="Arial"/>
            <w:bCs/>
            <w:color w:val="0070C0"/>
            <w:sz w:val="24"/>
            <w:szCs w:val="24"/>
            <w:lang w:val="en"/>
          </w:rPr>
          <w:t>Negative Numbers and Coordinate Plane</w:t>
        </w:r>
      </w:hyperlink>
    </w:p>
    <w:p w:rsidR="00AB3D71" w:rsidRPr="00492B88" w:rsidRDefault="00AB3D71" w:rsidP="00746FF2">
      <w:r w:rsidRPr="00492B88">
        <w:rPr>
          <w:noProof/>
        </w:rPr>
        <w:drawing>
          <wp:inline distT="0" distB="0" distL="0" distR="0" wp14:anchorId="1DC38D08" wp14:editId="72062932">
            <wp:extent cx="5464436" cy="10572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701"/>
                    <a:stretch/>
                  </pic:blipFill>
                  <pic:spPr bwMode="auto">
                    <a:xfrm>
                      <a:off x="0" y="0"/>
                      <a:ext cx="5474035" cy="1059132"/>
                    </a:xfrm>
                    <a:prstGeom prst="rect">
                      <a:avLst/>
                    </a:prstGeom>
                    <a:ln>
                      <a:noFill/>
                    </a:ln>
                    <a:extLst>
                      <a:ext uri="{53640926-AAD7-44D8-BBD7-CCE9431645EC}">
                        <a14:shadowObscured xmlns:a14="http://schemas.microsoft.com/office/drawing/2010/main"/>
                      </a:ext>
                    </a:extLst>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12" w:history="1">
        <w:r w:rsidR="00AB3D71" w:rsidRPr="00492B88">
          <w:rPr>
            <w:rStyle w:val="Hyperlink"/>
            <w:rFonts w:ascii="Roboto" w:eastAsia="Times New Roman" w:hAnsi="Roboto" w:cs="Arial"/>
            <w:bCs/>
            <w:color w:val="0070C0"/>
            <w:sz w:val="24"/>
            <w:szCs w:val="24"/>
            <w:lang w:val="en"/>
          </w:rPr>
          <w:t>Fractions</w:t>
        </w:r>
      </w:hyperlink>
    </w:p>
    <w:p w:rsidR="00AB3D71" w:rsidRPr="00492B88" w:rsidRDefault="00AB3D71" w:rsidP="00746FF2">
      <w:r w:rsidRPr="00492B88">
        <w:rPr>
          <w:noProof/>
        </w:rPr>
        <w:drawing>
          <wp:inline distT="0" distB="0" distL="0" distR="0" wp14:anchorId="71675354" wp14:editId="23F4BA93">
            <wp:extent cx="5528327"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556"/>
                    <a:stretch/>
                  </pic:blipFill>
                  <pic:spPr bwMode="auto">
                    <a:xfrm>
                      <a:off x="0" y="0"/>
                      <a:ext cx="5531415" cy="2029958"/>
                    </a:xfrm>
                    <a:prstGeom prst="rect">
                      <a:avLst/>
                    </a:prstGeom>
                    <a:ln>
                      <a:noFill/>
                    </a:ln>
                    <a:extLst>
                      <a:ext uri="{53640926-AAD7-44D8-BBD7-CCE9431645EC}">
                        <a14:shadowObscured xmlns:a14="http://schemas.microsoft.com/office/drawing/2010/main"/>
                      </a:ext>
                    </a:extLst>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14" w:history="1">
        <w:r w:rsidR="00AB3D71" w:rsidRPr="00492B88">
          <w:rPr>
            <w:rStyle w:val="Hyperlink"/>
            <w:rFonts w:ascii="Roboto" w:eastAsia="Times New Roman" w:hAnsi="Roboto" w:cs="Arial"/>
            <w:bCs/>
            <w:color w:val="0070C0"/>
            <w:sz w:val="24"/>
            <w:szCs w:val="24"/>
            <w:lang w:val="en"/>
          </w:rPr>
          <w:t>Decimals</w:t>
        </w:r>
      </w:hyperlink>
    </w:p>
    <w:p w:rsidR="00AB3D71" w:rsidRPr="00492B88" w:rsidRDefault="00AB3D71" w:rsidP="00746FF2">
      <w:r w:rsidRPr="00492B88">
        <w:rPr>
          <w:noProof/>
        </w:rPr>
        <w:drawing>
          <wp:inline distT="0" distB="0" distL="0" distR="0" wp14:anchorId="7EA65305" wp14:editId="4DCBDACE">
            <wp:extent cx="5600700" cy="111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8824"/>
                    <a:stretch/>
                  </pic:blipFill>
                  <pic:spPr bwMode="auto">
                    <a:xfrm>
                      <a:off x="0" y="0"/>
                      <a:ext cx="5618823" cy="1116561"/>
                    </a:xfrm>
                    <a:prstGeom prst="rect">
                      <a:avLst/>
                    </a:prstGeom>
                    <a:ln>
                      <a:noFill/>
                    </a:ln>
                    <a:extLst>
                      <a:ext uri="{53640926-AAD7-44D8-BBD7-CCE9431645EC}">
                        <a14:shadowObscured xmlns:a14="http://schemas.microsoft.com/office/drawing/2010/main"/>
                      </a:ext>
                    </a:extLst>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16" w:history="1">
        <w:r w:rsidR="00AB3D71" w:rsidRPr="00492B88">
          <w:rPr>
            <w:rStyle w:val="Hyperlink"/>
            <w:rFonts w:ascii="Roboto" w:eastAsia="Times New Roman" w:hAnsi="Roboto" w:cs="Arial"/>
            <w:bCs/>
            <w:color w:val="0070C0"/>
            <w:sz w:val="24"/>
            <w:szCs w:val="24"/>
            <w:lang w:val="en"/>
          </w:rPr>
          <w:t>Changing Fractions to Decimals</w:t>
        </w:r>
      </w:hyperlink>
    </w:p>
    <w:p w:rsidR="00AB3D71" w:rsidRPr="00492B88" w:rsidRDefault="00AB3D71" w:rsidP="00746FF2"/>
    <w:p w:rsidR="00AB3D71" w:rsidRPr="00492B88" w:rsidRDefault="003F1842" w:rsidP="00746FF2">
      <w:r w:rsidRPr="00492B88">
        <w:t xml:space="preserve">Click here </w:t>
      </w:r>
      <w:r w:rsidRPr="00492B88">
        <w:sym w:font="Wingdings" w:char="F0E0"/>
      </w:r>
      <w:r w:rsidRPr="00492B88">
        <w:t xml:space="preserve"> </w:t>
      </w:r>
      <w:hyperlink r:id="rId17" w:history="1">
        <w:r w:rsidR="00AB3D71" w:rsidRPr="00492B88">
          <w:rPr>
            <w:rStyle w:val="Hyperlink"/>
            <w:rFonts w:ascii="Roboto" w:eastAsia="Times New Roman" w:hAnsi="Roboto" w:cs="Arial"/>
            <w:bCs/>
            <w:color w:val="0070C0"/>
            <w:sz w:val="24"/>
            <w:szCs w:val="24"/>
            <w:lang w:val="en"/>
          </w:rPr>
          <w:t xml:space="preserve">Convert Decimals, Fractions, </w:t>
        </w:r>
        <w:proofErr w:type="gramStart"/>
        <w:r w:rsidR="00AB3D71" w:rsidRPr="00492B88">
          <w:rPr>
            <w:rStyle w:val="Hyperlink"/>
            <w:rFonts w:ascii="Roboto" w:eastAsia="Times New Roman" w:hAnsi="Roboto" w:cs="Arial"/>
            <w:bCs/>
            <w:color w:val="0070C0"/>
            <w:sz w:val="24"/>
            <w:szCs w:val="24"/>
            <w:lang w:val="en"/>
          </w:rPr>
          <w:t>Percent</w:t>
        </w:r>
        <w:proofErr w:type="gramEnd"/>
      </w:hyperlink>
    </w:p>
    <w:p w:rsidR="00AB3D71" w:rsidRPr="00492B88" w:rsidRDefault="00AB3D71" w:rsidP="00746FF2"/>
    <w:p w:rsidR="00AB3D71" w:rsidRPr="00492B88" w:rsidRDefault="003F1842" w:rsidP="00746FF2">
      <w:r w:rsidRPr="00492B88">
        <w:t xml:space="preserve">Click here </w:t>
      </w:r>
      <w:r w:rsidRPr="00492B88">
        <w:sym w:font="Wingdings" w:char="F0E0"/>
      </w:r>
      <w:r w:rsidRPr="00492B88">
        <w:t xml:space="preserve"> </w:t>
      </w:r>
      <w:hyperlink r:id="rId18" w:history="1">
        <w:r w:rsidR="00AB3D71" w:rsidRPr="00492B88">
          <w:rPr>
            <w:rStyle w:val="Hyperlink"/>
            <w:rFonts w:ascii="Roboto" w:eastAsia="Times New Roman" w:hAnsi="Roboto" w:cs="Arial"/>
            <w:bCs/>
            <w:color w:val="0070C0"/>
            <w:sz w:val="24"/>
            <w:szCs w:val="24"/>
            <w:lang w:val="en"/>
          </w:rPr>
          <w:t>Measurements</w:t>
        </w:r>
      </w:hyperlink>
    </w:p>
    <w:p w:rsidR="00AB3D71" w:rsidRPr="00492B88" w:rsidRDefault="00AB3D71" w:rsidP="00746FF2">
      <w:r w:rsidRPr="00492B88">
        <w:rPr>
          <w:noProof/>
        </w:rPr>
        <w:drawing>
          <wp:inline distT="0" distB="0" distL="0" distR="0" wp14:anchorId="2095F192" wp14:editId="3361349F">
            <wp:extent cx="4606925" cy="6571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6516" b="16451"/>
                    <a:stretch/>
                  </pic:blipFill>
                  <pic:spPr bwMode="auto">
                    <a:xfrm>
                      <a:off x="0" y="0"/>
                      <a:ext cx="4609524" cy="657562"/>
                    </a:xfrm>
                    <a:prstGeom prst="rect">
                      <a:avLst/>
                    </a:prstGeom>
                    <a:ln>
                      <a:noFill/>
                    </a:ln>
                    <a:extLst>
                      <a:ext uri="{53640926-AAD7-44D8-BBD7-CCE9431645EC}">
                        <a14:shadowObscured xmlns:a14="http://schemas.microsoft.com/office/drawing/2010/main"/>
                      </a:ext>
                    </a:extLst>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20" w:history="1">
        <w:r w:rsidR="00AB3D71" w:rsidRPr="00492B88">
          <w:rPr>
            <w:rStyle w:val="Hyperlink"/>
            <w:rFonts w:ascii="Roboto" w:eastAsia="Times New Roman" w:hAnsi="Roboto" w:cs="Arial"/>
            <w:bCs/>
            <w:color w:val="0070C0"/>
            <w:sz w:val="24"/>
            <w:szCs w:val="24"/>
            <w:lang w:val="en"/>
          </w:rPr>
          <w:t xml:space="preserve">Ratios, Rates, </w:t>
        </w:r>
        <w:proofErr w:type="gramStart"/>
        <w:r w:rsidR="00AB3D71" w:rsidRPr="00492B88">
          <w:rPr>
            <w:rStyle w:val="Hyperlink"/>
            <w:rFonts w:ascii="Roboto" w:eastAsia="Times New Roman" w:hAnsi="Roboto" w:cs="Arial"/>
            <w:bCs/>
            <w:color w:val="0070C0"/>
            <w:sz w:val="24"/>
            <w:szCs w:val="24"/>
            <w:lang w:val="en"/>
          </w:rPr>
          <w:t>Proportions</w:t>
        </w:r>
        <w:proofErr w:type="gramEnd"/>
      </w:hyperlink>
    </w:p>
    <w:p w:rsidR="00AB3D71" w:rsidRPr="00492B88" w:rsidRDefault="00AB3D71" w:rsidP="00746FF2"/>
    <w:p w:rsidR="00AB3D71" w:rsidRPr="00492B88" w:rsidRDefault="00AB3D71" w:rsidP="00746FF2">
      <w:r w:rsidRPr="00492B88">
        <w:rPr>
          <w:noProof/>
        </w:rPr>
        <w:drawing>
          <wp:inline distT="0" distB="0" distL="0" distR="0" wp14:anchorId="332C95A6" wp14:editId="5075CBA2">
            <wp:extent cx="5438775" cy="941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1150" b="8572"/>
                    <a:stretch/>
                  </pic:blipFill>
                  <pic:spPr bwMode="auto">
                    <a:xfrm>
                      <a:off x="0" y="0"/>
                      <a:ext cx="5497927" cy="951564"/>
                    </a:xfrm>
                    <a:prstGeom prst="rect">
                      <a:avLst/>
                    </a:prstGeom>
                    <a:ln>
                      <a:noFill/>
                    </a:ln>
                    <a:extLst>
                      <a:ext uri="{53640926-AAD7-44D8-BBD7-CCE9431645EC}">
                        <a14:shadowObscured xmlns:a14="http://schemas.microsoft.com/office/drawing/2010/main"/>
                      </a:ext>
                    </a:extLst>
                  </pic:spPr>
                </pic:pic>
              </a:graphicData>
            </a:graphic>
          </wp:inline>
        </w:drawing>
      </w:r>
    </w:p>
    <w:p w:rsidR="00AB3D71" w:rsidRPr="00492B88" w:rsidRDefault="003F1842" w:rsidP="00746FF2">
      <w:r w:rsidRPr="00492B88">
        <w:t xml:space="preserve">Click here </w:t>
      </w:r>
      <w:r w:rsidRPr="00492B88">
        <w:sym w:font="Wingdings" w:char="F0E0"/>
      </w:r>
      <w:r w:rsidRPr="00492B88">
        <w:t xml:space="preserve"> </w:t>
      </w:r>
      <w:hyperlink r:id="rId22" w:history="1">
        <w:r w:rsidR="00AB3D71" w:rsidRPr="00492B88">
          <w:rPr>
            <w:rStyle w:val="Hyperlink"/>
            <w:rFonts w:ascii="Roboto" w:eastAsia="Times New Roman" w:hAnsi="Roboto" w:cs="Arial"/>
            <w:bCs/>
            <w:color w:val="0070C0"/>
            <w:sz w:val="24"/>
            <w:szCs w:val="24"/>
            <w:lang w:val="en"/>
          </w:rPr>
          <w:t>Reading and Interpreting Data</w:t>
        </w:r>
      </w:hyperlink>
    </w:p>
    <w:p w:rsidR="00AB3D71" w:rsidRPr="00492B88" w:rsidRDefault="00AB3D71" w:rsidP="00746FF2"/>
    <w:p w:rsidR="00511C42" w:rsidRPr="00492B88" w:rsidRDefault="00AB3D71" w:rsidP="00746FF2">
      <w:r w:rsidRPr="00492B88">
        <w:rPr>
          <w:noProof/>
        </w:rPr>
        <w:drawing>
          <wp:inline distT="0" distB="0" distL="0" distR="0" wp14:anchorId="5211E6E2" wp14:editId="13D34E8F">
            <wp:extent cx="5124450" cy="12072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59" b="9434"/>
                    <a:stretch/>
                  </pic:blipFill>
                  <pic:spPr bwMode="auto">
                    <a:xfrm>
                      <a:off x="0" y="0"/>
                      <a:ext cx="5188216" cy="1222224"/>
                    </a:xfrm>
                    <a:prstGeom prst="rect">
                      <a:avLst/>
                    </a:prstGeom>
                    <a:ln>
                      <a:noFill/>
                    </a:ln>
                    <a:extLst>
                      <a:ext uri="{53640926-AAD7-44D8-BBD7-CCE9431645EC}">
                        <a14:shadowObscured xmlns:a14="http://schemas.microsoft.com/office/drawing/2010/main"/>
                      </a:ext>
                    </a:extLst>
                  </pic:spPr>
                </pic:pic>
              </a:graphicData>
            </a:graphic>
          </wp:inline>
        </w:drawing>
      </w:r>
    </w:p>
    <w:sectPr w:rsidR="00511C42" w:rsidRPr="00492B88" w:rsidSect="007C6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17C7F"/>
    <w:multiLevelType w:val="multilevel"/>
    <w:tmpl w:val="C30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D3436"/>
    <w:multiLevelType w:val="multilevel"/>
    <w:tmpl w:val="647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429A"/>
    <w:multiLevelType w:val="multilevel"/>
    <w:tmpl w:val="A09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6CE9"/>
    <w:multiLevelType w:val="multilevel"/>
    <w:tmpl w:val="F2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1"/>
    <w:rsid w:val="00120B2D"/>
    <w:rsid w:val="003F1842"/>
    <w:rsid w:val="00492B88"/>
    <w:rsid w:val="005872C3"/>
    <w:rsid w:val="005C24B4"/>
    <w:rsid w:val="007108BF"/>
    <w:rsid w:val="00746FF2"/>
    <w:rsid w:val="007C6F76"/>
    <w:rsid w:val="00896F60"/>
    <w:rsid w:val="009C78DD"/>
    <w:rsid w:val="00AB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96F6-AA20-4017-9B9D-C4304FB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D71"/>
    <w:rPr>
      <w:color w:val="0563C1" w:themeColor="hyperlink"/>
      <w:u w:val="single"/>
    </w:rPr>
  </w:style>
  <w:style w:type="character" w:styleId="FollowedHyperlink">
    <w:name w:val="FollowedHyperlink"/>
    <w:basedOn w:val="DefaultParagraphFont"/>
    <w:uiPriority w:val="99"/>
    <w:semiHidden/>
    <w:unhideWhenUsed/>
    <w:rsid w:val="00AB3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pre-algebra/pre-algebra-arith-prop" TargetMode="External"/><Relationship Id="rId13" Type="http://schemas.openxmlformats.org/officeDocument/2006/relationships/image" Target="media/image4.png"/><Relationship Id="rId18" Type="http://schemas.openxmlformats.org/officeDocument/2006/relationships/hyperlink" Target="https://www.khanacademy.org/math/pre-algebra/pre-algebra-measurement"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www.khanacademy.org/math/pre-algebra/pre-algebra-fractions/pre-algebra-dividing-fractions/v/conceptual-understanding-of-dividing-fractions-by-fractions" TargetMode="External"/><Relationship Id="rId17" Type="http://schemas.openxmlformats.org/officeDocument/2006/relationships/hyperlink" Target="https://www.khanacademy.org/math/pre-algebra/pre-algebra-ratios-rates/pre-algebra-percent-decimal-conversions/v/converting-decimals-to-percents-ex-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hanacademy.org/math/cc-seventh-grade-math/cc-7th-fractions-decimals/modal/v/converting-fractions-to-decimals-ex2" TargetMode="External"/><Relationship Id="rId20" Type="http://schemas.openxmlformats.org/officeDocument/2006/relationships/hyperlink" Target="https://www.khanacademy.org/math/pre-algebra/pre-algebra-ratios-rates" TargetMode="External"/><Relationship Id="rId1" Type="http://schemas.openxmlformats.org/officeDocument/2006/relationships/numbering" Target="numbering.xml"/><Relationship Id="rId6" Type="http://schemas.openxmlformats.org/officeDocument/2006/relationships/hyperlink" Target="https://www.khanacademy.org/math/cc-sixth-grade-math/cc-6th-arithmetic-operations"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http://www.khanacademy.org" TargetMode="External"/><Relationship Id="rId15" Type="http://schemas.openxmlformats.org/officeDocument/2006/relationships/image" Target="media/image5.png"/><Relationship Id="rId23" Type="http://schemas.openxmlformats.org/officeDocument/2006/relationships/image" Target="media/image8.png"/><Relationship Id="rId10" Type="http://schemas.openxmlformats.org/officeDocument/2006/relationships/hyperlink" Target="https://www.khanacademy.org/math/pre-algebra/pre-algebra-negative-number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hanacademy.org/math/pre-algebra/pre-algebra-decimals/pre-algebra-dividing-decimals/v/dividing-completely-to-get-decimal-answer" TargetMode="External"/><Relationship Id="rId22" Type="http://schemas.openxmlformats.org/officeDocument/2006/relationships/hyperlink" Target="https://www.khanacademy.org/math/pre-algebra/pre-algebra-math-reas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Backstrom, Allyson D</dc:creator>
  <cp:keywords/>
  <dc:description/>
  <cp:lastModifiedBy>Windows User</cp:lastModifiedBy>
  <cp:revision>3</cp:revision>
  <cp:lastPrinted>2018-04-10T18:35:00Z</cp:lastPrinted>
  <dcterms:created xsi:type="dcterms:W3CDTF">2019-03-01T13:21:00Z</dcterms:created>
  <dcterms:modified xsi:type="dcterms:W3CDTF">2019-03-12T19:59:00Z</dcterms:modified>
</cp:coreProperties>
</file>